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таблице </w:t>
      </w:r>
      <w:r w:rsidR="00A17EB9">
        <w:rPr>
          <w:rFonts w:ascii="Times New Roman" w:hAnsi="Times New Roman" w:cs="Times New Roman"/>
          <w:sz w:val="28"/>
          <w:szCs w:val="28"/>
        </w:rPr>
        <w:t>1.1 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F11334">
        <w:rPr>
          <w:rFonts w:ascii="Times New Roman" w:hAnsi="Times New Roman" w:cs="Times New Roman"/>
          <w:sz w:val="28"/>
          <w:szCs w:val="28"/>
        </w:rPr>
        <w:t>1.</w:t>
      </w:r>
      <w:r w:rsidRPr="00C62B0E">
        <w:rPr>
          <w:rFonts w:ascii="Times New Roman" w:hAnsi="Times New Roman" w:cs="Times New Roman"/>
          <w:sz w:val="28"/>
          <w:szCs w:val="28"/>
        </w:rPr>
        <w:t xml:space="preserve">1 </w:t>
      </w:r>
      <w:r w:rsidR="00F11334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11334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патронируемые дети, а также дети мужа от прежнего брака в число детей, </w:t>
      </w:r>
      <w:r w:rsidR="00A86426" w:rsidRPr="001E21E3">
        <w:rPr>
          <w:rFonts w:ascii="Times New Roman" w:hAnsi="Times New Roman" w:cs="Times New Roman"/>
          <w:sz w:val="28"/>
          <w:szCs w:val="28"/>
        </w:rPr>
        <w:lastRenderedPageBreak/>
        <w:t>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 xml:space="preserve">Данные о числе рожденных детей, представленные в таблицах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 w:rsidRPr="001102FA">
        <w:rPr>
          <w:rFonts w:ascii="Times New Roman" w:hAnsi="Times New Roman" w:cs="Times New Roman"/>
          <w:sz w:val="28"/>
          <w:szCs w:val="28"/>
        </w:rPr>
        <w:t xml:space="preserve">1 –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 w:rsidRPr="001102FA">
        <w:rPr>
          <w:rFonts w:ascii="Times New Roman" w:hAnsi="Times New Roman" w:cs="Times New Roman"/>
          <w:sz w:val="28"/>
          <w:szCs w:val="28"/>
        </w:rPr>
        <w:t>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1-</w:t>
      </w:r>
      <w:r w:rsidR="00F113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Pr="00BB780A">
        <w:rPr>
          <w:rFonts w:ascii="Times New Roman" w:hAnsi="Times New Roman" w:cs="Times New Roman"/>
          <w:sz w:val="28"/>
          <w:szCs w:val="28"/>
        </w:rPr>
        <w:t>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FE30CF">
        <w:rPr>
          <w:rFonts w:ascii="Times New Roman" w:hAnsi="Times New Roman" w:cs="Times New Roman"/>
          <w:sz w:val="28"/>
          <w:szCs w:val="28"/>
        </w:rPr>
        <w:t>9.</w:t>
      </w:r>
      <w:r w:rsidR="00B92FCA">
        <w:rPr>
          <w:rFonts w:ascii="Times New Roman" w:hAnsi="Times New Roman" w:cs="Times New Roman"/>
          <w:sz w:val="28"/>
          <w:szCs w:val="28"/>
        </w:rPr>
        <w:t>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BA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6387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167BA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17EB9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C5C70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1334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E30C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13F2-C74F-4131-9C54-F629CD1C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2022-11-30T08:09:00Z</cp:lastPrinted>
  <dcterms:created xsi:type="dcterms:W3CDTF">2022-12-22T14:01:00Z</dcterms:created>
  <dcterms:modified xsi:type="dcterms:W3CDTF">2022-12-22T14:01:00Z</dcterms:modified>
</cp:coreProperties>
</file>